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8B6" w:rsidRDefault="00C308B6" w:rsidP="00C308B6">
      <w:pPr>
        <w:pStyle w:val="2"/>
        <w:spacing w:before="156" w:after="156"/>
        <w:jc w:val="left"/>
        <w:rPr>
          <w:bCs w:val="0"/>
        </w:rPr>
      </w:pPr>
      <w:bookmarkStart w:id="0" w:name="_Toc22050"/>
      <w:r>
        <w:rPr>
          <w:rFonts w:hint="eastAsia"/>
          <w:sz w:val="28"/>
          <w:szCs w:val="28"/>
        </w:rPr>
        <w:t xml:space="preserve">附件      </w:t>
      </w:r>
      <w:r>
        <w:rPr>
          <w:rFonts w:hint="eastAsia"/>
          <w:bCs w:val="0"/>
        </w:rPr>
        <w:t>行企投经费价值评估与核算操作指南</w:t>
      </w:r>
      <w:bookmarkEnd w:id="0"/>
    </w:p>
    <w:p w:rsidR="00C308B6" w:rsidRDefault="00C308B6" w:rsidP="00C308B6">
      <w:pPr>
        <w:widowControl w:val="0"/>
        <w:ind w:firstLine="560"/>
        <w:rPr>
          <w:rFonts w:ascii="黑体" w:eastAsia="黑体" w:hAnsi="黑体" w:cs="黑体" w:hint="eastAsia"/>
        </w:rPr>
      </w:pPr>
      <w:r>
        <w:rPr>
          <w:rFonts w:ascii="黑体" w:eastAsia="黑体" w:hAnsi="黑体" w:cs="黑体" w:hint="eastAsia"/>
        </w:rPr>
        <w:t>一、制定目的</w:t>
      </w:r>
    </w:p>
    <w:p w:rsidR="00C308B6" w:rsidRDefault="00C308B6" w:rsidP="00C308B6">
      <w:pPr>
        <w:widowControl w:val="0"/>
        <w:ind w:firstLine="560"/>
        <w:rPr>
          <w:rFonts w:hint="eastAsia"/>
        </w:rPr>
      </w:pPr>
      <w:r>
        <w:rPr>
          <w:rFonts w:hint="eastAsia"/>
        </w:rPr>
        <w:t>为规范行企投经费中各类投入资源的价值评估与核算工作，确保企业投入资源的价值确认科学、合理、公允，根据相关规定，制定本操作指南。</w:t>
      </w:r>
    </w:p>
    <w:p w:rsidR="00C308B6" w:rsidRDefault="00C308B6" w:rsidP="00C308B6">
      <w:pPr>
        <w:widowControl w:val="0"/>
        <w:ind w:firstLine="560"/>
        <w:rPr>
          <w:rFonts w:ascii="黑体" w:eastAsia="黑体" w:hAnsi="黑体" w:cs="黑体" w:hint="eastAsia"/>
        </w:rPr>
      </w:pPr>
      <w:r>
        <w:rPr>
          <w:rFonts w:ascii="黑体" w:eastAsia="黑体" w:hAnsi="黑体" w:cs="黑体" w:hint="eastAsia"/>
        </w:rPr>
        <w:t>二、货币类投入评估与核算</w:t>
      </w:r>
    </w:p>
    <w:p w:rsidR="00C308B6" w:rsidRDefault="00C308B6" w:rsidP="00C308B6">
      <w:pPr>
        <w:widowControl w:val="0"/>
        <w:ind w:firstLine="560"/>
        <w:rPr>
          <w:rFonts w:hint="eastAsia"/>
        </w:rPr>
      </w:pPr>
      <w:r>
        <w:rPr>
          <w:rFonts w:hint="eastAsia"/>
        </w:rPr>
        <w:t>（一）确认依据</w:t>
      </w:r>
    </w:p>
    <w:p w:rsidR="00C308B6" w:rsidRDefault="00C308B6" w:rsidP="00C308B6">
      <w:pPr>
        <w:widowControl w:val="0"/>
        <w:ind w:firstLine="560"/>
        <w:rPr>
          <w:rFonts w:hint="eastAsia"/>
        </w:rPr>
      </w:pPr>
      <w:r>
        <w:rPr>
          <w:rFonts w:hint="eastAsia"/>
        </w:rPr>
        <w:t>以企业账户按协议约定时限转账至学校校企合作专用账户的实际到账金额为准。</w:t>
      </w:r>
    </w:p>
    <w:p w:rsidR="00C308B6" w:rsidRDefault="00C308B6" w:rsidP="00C308B6">
      <w:pPr>
        <w:widowControl w:val="0"/>
        <w:ind w:firstLine="560"/>
        <w:rPr>
          <w:rFonts w:hint="eastAsia"/>
        </w:rPr>
      </w:pPr>
      <w:r>
        <w:rPr>
          <w:rFonts w:hint="eastAsia"/>
        </w:rPr>
        <w:t>（二）所需凭证</w:t>
      </w:r>
    </w:p>
    <w:p w:rsidR="00C308B6" w:rsidRDefault="00C308B6" w:rsidP="00C308B6">
      <w:pPr>
        <w:widowControl w:val="0"/>
        <w:ind w:firstLine="560"/>
        <w:rPr>
          <w:rFonts w:hint="eastAsia"/>
        </w:rPr>
      </w:pPr>
      <w:r>
        <w:rPr>
          <w:rFonts w:hint="eastAsia"/>
        </w:rPr>
        <w:t>银行入账凭证（进账单、电子回单等）；</w:t>
      </w:r>
    </w:p>
    <w:p w:rsidR="00C308B6" w:rsidRDefault="00C308B6" w:rsidP="00C308B6">
      <w:pPr>
        <w:widowControl w:val="0"/>
        <w:ind w:firstLine="560"/>
        <w:rPr>
          <w:rFonts w:hint="eastAsia"/>
        </w:rPr>
      </w:pPr>
      <w:r>
        <w:rPr>
          <w:rFonts w:hint="eastAsia"/>
        </w:rPr>
        <w:t>企业拨款证明（加盖企业公章的拨款通知或说明）；</w:t>
      </w:r>
    </w:p>
    <w:p w:rsidR="00C308B6" w:rsidRDefault="00C308B6" w:rsidP="00C308B6">
      <w:pPr>
        <w:widowControl w:val="0"/>
        <w:ind w:firstLine="560"/>
        <w:rPr>
          <w:rFonts w:hint="eastAsia"/>
        </w:rPr>
      </w:pPr>
      <w:r>
        <w:rPr>
          <w:rFonts w:hint="eastAsia"/>
        </w:rPr>
        <w:t>校企合作协议中关于货币投入的约定条款。</w:t>
      </w:r>
    </w:p>
    <w:p w:rsidR="00C308B6" w:rsidRDefault="00C308B6" w:rsidP="00C308B6">
      <w:pPr>
        <w:widowControl w:val="0"/>
        <w:ind w:firstLine="560"/>
        <w:rPr>
          <w:rFonts w:hint="eastAsia"/>
        </w:rPr>
      </w:pPr>
      <w:r>
        <w:rPr>
          <w:rFonts w:hint="eastAsia"/>
        </w:rPr>
        <w:t>（三）核算流程</w:t>
      </w:r>
    </w:p>
    <w:p w:rsidR="00C308B6" w:rsidRDefault="00C308B6" w:rsidP="00C308B6">
      <w:pPr>
        <w:widowControl w:val="0"/>
        <w:ind w:firstLine="560"/>
        <w:rPr>
          <w:rFonts w:hint="eastAsia"/>
        </w:rPr>
      </w:pPr>
      <w:r>
        <w:rPr>
          <w:rFonts w:hint="eastAsia"/>
        </w:rPr>
        <w:t>财务处收到款项后，核对协议约定的金额、时限与企业实际拨付情况是否一致；</w:t>
      </w:r>
    </w:p>
    <w:p w:rsidR="00C308B6" w:rsidRDefault="00C308B6" w:rsidP="00C308B6">
      <w:pPr>
        <w:widowControl w:val="0"/>
        <w:ind w:firstLine="560"/>
        <w:rPr>
          <w:rFonts w:hint="eastAsia"/>
        </w:rPr>
      </w:pPr>
      <w:r>
        <w:rPr>
          <w:rFonts w:hint="eastAsia"/>
        </w:rPr>
        <w:t>核对无误后，在3个工作日内完成入账登记；</w:t>
      </w:r>
    </w:p>
    <w:p w:rsidR="00C308B6" w:rsidRDefault="00C308B6" w:rsidP="00C308B6">
      <w:pPr>
        <w:widowControl w:val="0"/>
        <w:ind w:firstLine="560"/>
        <w:rPr>
          <w:rFonts w:hint="eastAsia"/>
        </w:rPr>
      </w:pPr>
      <w:r>
        <w:rPr>
          <w:rFonts w:hint="eastAsia"/>
        </w:rPr>
        <w:t>登记科目为“校企合作行企投经费——货币类投入——［项目名称］”；</w:t>
      </w:r>
    </w:p>
    <w:p w:rsidR="00C308B6" w:rsidRDefault="00C308B6" w:rsidP="00C308B6">
      <w:pPr>
        <w:widowControl w:val="0"/>
        <w:ind w:firstLine="560"/>
        <w:rPr>
          <w:rFonts w:hint="eastAsia"/>
        </w:rPr>
      </w:pPr>
      <w:r>
        <w:rPr>
          <w:rFonts w:hint="eastAsia"/>
        </w:rPr>
        <w:t>同步通知校企合作办公室和项目所属二级学院。</w:t>
      </w:r>
    </w:p>
    <w:p w:rsidR="00C308B6" w:rsidRDefault="00C308B6" w:rsidP="00C308B6">
      <w:pPr>
        <w:widowControl w:val="0"/>
        <w:ind w:firstLine="560"/>
        <w:rPr>
          <w:rFonts w:ascii="黑体" w:eastAsia="黑体" w:hAnsi="黑体" w:cs="黑体" w:hint="eastAsia"/>
        </w:rPr>
      </w:pPr>
      <w:r>
        <w:rPr>
          <w:rFonts w:ascii="黑体" w:eastAsia="黑体" w:hAnsi="黑体" w:cs="黑体" w:hint="eastAsia"/>
        </w:rPr>
        <w:t>三、实物类投入评估与核算</w:t>
      </w:r>
    </w:p>
    <w:p w:rsidR="00C308B6" w:rsidRDefault="00C308B6" w:rsidP="00C308B6">
      <w:pPr>
        <w:widowControl w:val="0"/>
        <w:ind w:firstLine="560"/>
        <w:rPr>
          <w:rFonts w:hint="eastAsia"/>
        </w:rPr>
      </w:pPr>
      <w:r>
        <w:rPr>
          <w:rFonts w:hint="eastAsia"/>
        </w:rPr>
        <w:t>（一）确认依据</w:t>
      </w:r>
    </w:p>
    <w:p w:rsidR="00C308B6" w:rsidRDefault="00C308B6" w:rsidP="00C308B6">
      <w:pPr>
        <w:widowControl w:val="0"/>
        <w:ind w:firstLine="560"/>
        <w:rPr>
          <w:rFonts w:hint="eastAsia"/>
        </w:rPr>
      </w:pPr>
      <w:r>
        <w:rPr>
          <w:rFonts w:hint="eastAsia"/>
        </w:rPr>
        <w:t>优先以采购发票、物流单据等原始凭证标注的金额为准；</w:t>
      </w:r>
    </w:p>
    <w:p w:rsidR="00C308B6" w:rsidRDefault="00C308B6" w:rsidP="00C308B6">
      <w:pPr>
        <w:widowControl w:val="0"/>
        <w:ind w:firstLine="560"/>
        <w:rPr>
          <w:rFonts w:hint="eastAsia"/>
        </w:rPr>
      </w:pPr>
      <w:r>
        <w:rPr>
          <w:rFonts w:hint="eastAsia"/>
        </w:rPr>
        <w:t>无原始凭证或原始凭证无法准确反映价值的，以校企双方验收日共同确认的评估价值为准；</w:t>
      </w:r>
    </w:p>
    <w:p w:rsidR="00C308B6" w:rsidRDefault="00C308B6" w:rsidP="00C308B6">
      <w:pPr>
        <w:widowControl w:val="0"/>
        <w:ind w:firstLine="560"/>
        <w:rPr>
          <w:rFonts w:hint="eastAsia"/>
        </w:rPr>
      </w:pPr>
      <w:r>
        <w:rPr>
          <w:rFonts w:hint="eastAsia"/>
        </w:rPr>
        <w:t>双方无法达成一致的，委托具备资质的第三方专业评估机构进行</w:t>
      </w:r>
      <w:r>
        <w:rPr>
          <w:rFonts w:hint="eastAsia"/>
        </w:rPr>
        <w:lastRenderedPageBreak/>
        <w:t>评估确认。</w:t>
      </w:r>
    </w:p>
    <w:p w:rsidR="00C308B6" w:rsidRDefault="00C308B6" w:rsidP="00C308B6">
      <w:pPr>
        <w:widowControl w:val="0"/>
        <w:ind w:firstLine="560"/>
        <w:rPr>
          <w:rFonts w:hint="eastAsia"/>
        </w:rPr>
      </w:pPr>
      <w:r>
        <w:rPr>
          <w:rFonts w:hint="eastAsia"/>
        </w:rPr>
        <w:t>（二）所需凭证</w:t>
      </w:r>
    </w:p>
    <w:p w:rsidR="00C308B6" w:rsidRDefault="00C308B6" w:rsidP="00C308B6">
      <w:pPr>
        <w:widowControl w:val="0"/>
        <w:ind w:firstLine="560"/>
        <w:rPr>
          <w:rFonts w:hint="eastAsia"/>
        </w:rPr>
      </w:pPr>
      <w:r>
        <w:rPr>
          <w:rFonts w:hint="eastAsia"/>
        </w:rPr>
        <w:t>采购发票（增值税专用发票或普通发票）；</w:t>
      </w:r>
    </w:p>
    <w:p w:rsidR="00C308B6" w:rsidRDefault="00C308B6" w:rsidP="00C308B6">
      <w:pPr>
        <w:widowControl w:val="0"/>
        <w:ind w:firstLine="560"/>
        <w:rPr>
          <w:rFonts w:hint="eastAsia"/>
        </w:rPr>
      </w:pPr>
      <w:r>
        <w:rPr>
          <w:rFonts w:hint="eastAsia"/>
        </w:rPr>
        <w:t>物流单据（送货单、签收单等）；</w:t>
      </w:r>
    </w:p>
    <w:p w:rsidR="00C308B6" w:rsidRDefault="00C308B6" w:rsidP="00C308B6">
      <w:pPr>
        <w:widowControl w:val="0"/>
        <w:ind w:firstLine="560"/>
        <w:rPr>
          <w:rFonts w:hint="eastAsia"/>
        </w:rPr>
      </w:pPr>
      <w:r>
        <w:rPr>
          <w:rFonts w:hint="eastAsia"/>
        </w:rPr>
        <w:t>资产移交清单（含资产名称、规格型号、数量、价值、移交日期等）；</w:t>
      </w:r>
    </w:p>
    <w:p w:rsidR="00C308B6" w:rsidRDefault="00C308B6" w:rsidP="00C308B6">
      <w:pPr>
        <w:widowControl w:val="0"/>
        <w:ind w:firstLine="560"/>
        <w:rPr>
          <w:rFonts w:hint="eastAsia"/>
        </w:rPr>
      </w:pPr>
      <w:r>
        <w:rPr>
          <w:rFonts w:hint="eastAsia"/>
        </w:rPr>
        <w:t>验收记录（校企双方验收人员共同签字确认）；</w:t>
      </w:r>
    </w:p>
    <w:p w:rsidR="00C308B6" w:rsidRDefault="00C308B6" w:rsidP="00C308B6">
      <w:pPr>
        <w:widowControl w:val="0"/>
        <w:ind w:firstLine="560"/>
        <w:rPr>
          <w:rFonts w:hint="eastAsia"/>
        </w:rPr>
      </w:pPr>
      <w:r>
        <w:rPr>
          <w:rFonts w:hint="eastAsia"/>
        </w:rPr>
        <w:t>权属转移证明（所有权转移或使用权交接证明）；</w:t>
      </w:r>
    </w:p>
    <w:p w:rsidR="00C308B6" w:rsidRDefault="00C308B6" w:rsidP="00C308B6">
      <w:pPr>
        <w:widowControl w:val="0"/>
        <w:ind w:firstLine="560"/>
        <w:rPr>
          <w:rFonts w:hint="eastAsia"/>
        </w:rPr>
      </w:pPr>
      <w:r>
        <w:rPr>
          <w:rFonts w:hint="eastAsia"/>
        </w:rPr>
        <w:t>第三方评估报告（如适用）。</w:t>
      </w:r>
    </w:p>
    <w:p w:rsidR="00C308B6" w:rsidRDefault="00C308B6" w:rsidP="00C308B6">
      <w:pPr>
        <w:widowControl w:val="0"/>
        <w:ind w:firstLine="560"/>
        <w:rPr>
          <w:rFonts w:hint="eastAsia"/>
        </w:rPr>
      </w:pPr>
      <w:r>
        <w:rPr>
          <w:rFonts w:hint="eastAsia"/>
        </w:rPr>
        <w:t>（三）价值评估方法</w:t>
      </w:r>
    </w:p>
    <w:tbl>
      <w:tblPr>
        <w:tblStyle w:val="a6"/>
        <w:tblW w:w="0" w:type="auto"/>
        <w:tblInd w:w="0" w:type="dxa"/>
        <w:tblLook w:val="04A0" w:firstRow="1" w:lastRow="0" w:firstColumn="1" w:lastColumn="0" w:noHBand="0" w:noVBand="1"/>
      </w:tblPr>
      <w:tblGrid>
        <w:gridCol w:w="1477"/>
        <w:gridCol w:w="3798"/>
        <w:gridCol w:w="3247"/>
      </w:tblGrid>
      <w:tr w:rsidR="00C308B6" w:rsidTr="00C308B6">
        <w:trPr>
          <w:trHeight w:val="518"/>
        </w:trPr>
        <w:tc>
          <w:tcPr>
            <w:tcW w:w="1497"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评估方法</w:t>
            </w:r>
          </w:p>
        </w:tc>
        <w:tc>
          <w:tcPr>
            <w:tcW w:w="3859"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适用情形</w:t>
            </w:r>
          </w:p>
        </w:tc>
        <w:tc>
          <w:tcPr>
            <w:tcW w:w="3302"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说明</w:t>
            </w:r>
          </w:p>
        </w:tc>
      </w:tr>
      <w:tr w:rsidR="00C308B6" w:rsidTr="00C308B6">
        <w:trPr>
          <w:trHeight w:val="518"/>
        </w:trPr>
        <w:tc>
          <w:tcPr>
            <w:tcW w:w="1497"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市场法</w:t>
            </w:r>
          </w:p>
        </w:tc>
        <w:tc>
          <w:tcPr>
            <w:tcW w:w="3859"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有活跃市场交易的通用设备、软件等</w:t>
            </w:r>
          </w:p>
        </w:tc>
        <w:tc>
          <w:tcPr>
            <w:tcW w:w="3302"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参考同类产品同期市场公允价格</w:t>
            </w:r>
          </w:p>
        </w:tc>
      </w:tr>
      <w:tr w:rsidR="00C308B6" w:rsidTr="00C308B6">
        <w:trPr>
          <w:trHeight w:val="518"/>
        </w:trPr>
        <w:tc>
          <w:tcPr>
            <w:tcW w:w="1497"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成本法</w:t>
            </w:r>
          </w:p>
        </w:tc>
        <w:tc>
          <w:tcPr>
            <w:tcW w:w="3859"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定制化设备、专用设施等</w:t>
            </w:r>
          </w:p>
        </w:tc>
        <w:tc>
          <w:tcPr>
            <w:tcW w:w="3302"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以重置成本扣减折旧为基础</w:t>
            </w:r>
          </w:p>
        </w:tc>
      </w:tr>
      <w:tr w:rsidR="00C308B6" w:rsidTr="00C308B6">
        <w:trPr>
          <w:trHeight w:val="535"/>
        </w:trPr>
        <w:tc>
          <w:tcPr>
            <w:tcW w:w="1497"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收益法</w:t>
            </w:r>
          </w:p>
        </w:tc>
        <w:tc>
          <w:tcPr>
            <w:tcW w:w="3859"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能独立产生收益的资产组合</w:t>
            </w:r>
          </w:p>
        </w:tc>
        <w:tc>
          <w:tcPr>
            <w:tcW w:w="3302"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以预期收益折现为基础</w:t>
            </w:r>
          </w:p>
        </w:tc>
      </w:tr>
    </w:tbl>
    <w:p w:rsidR="00C308B6" w:rsidRDefault="00C308B6" w:rsidP="00C308B6">
      <w:pPr>
        <w:widowControl w:val="0"/>
        <w:ind w:firstLine="560"/>
        <w:rPr>
          <w:rFonts w:hint="eastAsia"/>
        </w:rPr>
      </w:pPr>
      <w:r>
        <w:rPr>
          <w:rFonts w:hint="eastAsia"/>
        </w:rPr>
        <w:t>（四）核算流程</w:t>
      </w:r>
    </w:p>
    <w:p w:rsidR="00C308B6" w:rsidRDefault="00C308B6" w:rsidP="00C308B6">
      <w:pPr>
        <w:widowControl w:val="0"/>
        <w:ind w:firstLine="560"/>
        <w:rPr>
          <w:rFonts w:hint="eastAsia"/>
        </w:rPr>
      </w:pPr>
      <w:r>
        <w:rPr>
          <w:rFonts w:hint="eastAsia"/>
        </w:rPr>
        <w:t>企业按协议完成实物资产交付；</w:t>
      </w:r>
    </w:p>
    <w:p w:rsidR="00C308B6" w:rsidRDefault="00C308B6" w:rsidP="00C308B6">
      <w:pPr>
        <w:widowControl w:val="0"/>
        <w:ind w:firstLine="560"/>
        <w:rPr>
          <w:rFonts w:hint="eastAsia"/>
        </w:rPr>
      </w:pPr>
      <w:r>
        <w:rPr>
          <w:rFonts w:hint="eastAsia"/>
        </w:rPr>
        <w:t>校企双方组成验收小组（不少于3人，含资产管理部门人员、项目技术人员、财务人员），进行实物验收；</w:t>
      </w:r>
    </w:p>
    <w:p w:rsidR="00C308B6" w:rsidRDefault="00C308B6" w:rsidP="00C308B6">
      <w:pPr>
        <w:widowControl w:val="0"/>
        <w:ind w:firstLine="560"/>
        <w:rPr>
          <w:rFonts w:hint="eastAsia"/>
        </w:rPr>
      </w:pPr>
      <w:r>
        <w:rPr>
          <w:rFonts w:hint="eastAsia"/>
        </w:rPr>
        <w:t>验收通过后，填写《实物类投入验收确认单》，双方验收人员签字确认；</w:t>
      </w:r>
    </w:p>
    <w:p w:rsidR="00C308B6" w:rsidRDefault="00C308B6" w:rsidP="00C308B6">
      <w:pPr>
        <w:widowControl w:val="0"/>
        <w:ind w:firstLine="560"/>
        <w:rPr>
          <w:rFonts w:hint="eastAsia"/>
        </w:rPr>
      </w:pPr>
      <w:r>
        <w:rPr>
          <w:rFonts w:hint="eastAsia"/>
        </w:rPr>
        <w:t>资产管理部门在10个工作日内完成资产入库登记，纳入学校国有资产管理信息系统；</w:t>
      </w:r>
    </w:p>
    <w:p w:rsidR="00C308B6" w:rsidRDefault="00C308B6" w:rsidP="00C308B6">
      <w:pPr>
        <w:widowControl w:val="0"/>
        <w:ind w:firstLine="560"/>
        <w:rPr>
          <w:rFonts w:hint="eastAsia"/>
        </w:rPr>
      </w:pPr>
      <w:r>
        <w:rPr>
          <w:rFonts w:hint="eastAsia"/>
        </w:rPr>
        <w:t>财务处依据验收确认单和原始凭证，在10个工作日内完成价值入账。</w:t>
      </w:r>
    </w:p>
    <w:p w:rsidR="00C308B6" w:rsidRDefault="00C308B6" w:rsidP="00C308B6">
      <w:pPr>
        <w:widowControl w:val="0"/>
        <w:ind w:firstLine="560"/>
        <w:rPr>
          <w:rFonts w:ascii="黑体" w:eastAsia="黑体" w:hAnsi="黑体" w:cs="黑体" w:hint="eastAsia"/>
        </w:rPr>
      </w:pPr>
      <w:r>
        <w:rPr>
          <w:rFonts w:ascii="黑体" w:eastAsia="黑体" w:hAnsi="黑体" w:cs="黑体" w:hint="eastAsia"/>
        </w:rPr>
        <w:t>四、无形资产类投入评估与核算</w:t>
      </w:r>
    </w:p>
    <w:p w:rsidR="00C308B6" w:rsidRDefault="00C308B6" w:rsidP="00C308B6">
      <w:pPr>
        <w:widowControl w:val="0"/>
        <w:ind w:firstLine="560"/>
        <w:rPr>
          <w:rFonts w:hint="eastAsia"/>
        </w:rPr>
      </w:pPr>
      <w:r>
        <w:rPr>
          <w:rFonts w:hint="eastAsia"/>
        </w:rPr>
        <w:t>（一）确认依据</w:t>
      </w:r>
    </w:p>
    <w:p w:rsidR="00C308B6" w:rsidRDefault="00C308B6" w:rsidP="00C308B6">
      <w:pPr>
        <w:widowControl w:val="0"/>
        <w:ind w:firstLine="560"/>
        <w:rPr>
          <w:rFonts w:hint="eastAsia"/>
        </w:rPr>
      </w:pPr>
      <w:r>
        <w:rPr>
          <w:rFonts w:hint="eastAsia"/>
        </w:rPr>
        <w:lastRenderedPageBreak/>
        <w:t>以校企双方协商一致的价值为准；</w:t>
      </w:r>
    </w:p>
    <w:p w:rsidR="00C308B6" w:rsidRDefault="00C308B6" w:rsidP="00C308B6">
      <w:pPr>
        <w:widowControl w:val="0"/>
        <w:ind w:firstLine="560"/>
        <w:rPr>
          <w:rFonts w:hint="eastAsia"/>
        </w:rPr>
      </w:pPr>
      <w:r>
        <w:rPr>
          <w:rFonts w:hint="eastAsia"/>
        </w:rPr>
        <w:t>双方无法达成一致的，委托具备资质的第三方专业评估机构进行评估确认。</w:t>
      </w:r>
    </w:p>
    <w:p w:rsidR="00C308B6" w:rsidRDefault="00C308B6" w:rsidP="00C308B6">
      <w:pPr>
        <w:widowControl w:val="0"/>
        <w:ind w:firstLine="560"/>
        <w:rPr>
          <w:rFonts w:hint="eastAsia"/>
        </w:rPr>
      </w:pPr>
      <w:r>
        <w:rPr>
          <w:rFonts w:hint="eastAsia"/>
        </w:rPr>
        <w:t>（二）所需凭证</w:t>
      </w:r>
    </w:p>
    <w:p w:rsidR="00C308B6" w:rsidRDefault="00C308B6" w:rsidP="00C308B6">
      <w:pPr>
        <w:widowControl w:val="0"/>
        <w:ind w:firstLine="560"/>
        <w:rPr>
          <w:rFonts w:hint="eastAsia"/>
        </w:rPr>
      </w:pPr>
      <w:r>
        <w:rPr>
          <w:rFonts w:hint="eastAsia"/>
        </w:rPr>
        <w:t>无形资产授权协议或转让合同；</w:t>
      </w:r>
    </w:p>
    <w:p w:rsidR="00C308B6" w:rsidRDefault="00C308B6" w:rsidP="00C308B6">
      <w:pPr>
        <w:widowControl w:val="0"/>
        <w:ind w:firstLine="560"/>
        <w:rPr>
          <w:rFonts w:hint="eastAsia"/>
        </w:rPr>
      </w:pPr>
      <w:r>
        <w:rPr>
          <w:rFonts w:hint="eastAsia"/>
        </w:rPr>
        <w:t>知识产权证明文件（著作权登记证书、专利证书、商标注册证等）；</w:t>
      </w:r>
    </w:p>
    <w:p w:rsidR="00C308B6" w:rsidRDefault="00C308B6" w:rsidP="00C308B6">
      <w:pPr>
        <w:widowControl w:val="0"/>
        <w:ind w:firstLine="560"/>
        <w:rPr>
          <w:rFonts w:hint="eastAsia"/>
        </w:rPr>
      </w:pPr>
      <w:r>
        <w:rPr>
          <w:rFonts w:hint="eastAsia"/>
        </w:rPr>
        <w:t>价值确认书（校企双方签字盖章）；</w:t>
      </w:r>
    </w:p>
    <w:p w:rsidR="00C308B6" w:rsidRDefault="00C308B6" w:rsidP="00C308B6">
      <w:pPr>
        <w:widowControl w:val="0"/>
        <w:ind w:firstLine="560"/>
        <w:rPr>
          <w:rFonts w:hint="eastAsia"/>
        </w:rPr>
      </w:pPr>
      <w:r>
        <w:rPr>
          <w:rFonts w:hint="eastAsia"/>
        </w:rPr>
        <w:t>第三方评估报告（如适用）；</w:t>
      </w:r>
    </w:p>
    <w:p w:rsidR="00C308B6" w:rsidRDefault="00C308B6" w:rsidP="00C308B6">
      <w:pPr>
        <w:widowControl w:val="0"/>
        <w:ind w:firstLine="560"/>
        <w:rPr>
          <w:rFonts w:hint="eastAsia"/>
        </w:rPr>
      </w:pPr>
      <w:r>
        <w:rPr>
          <w:rFonts w:hint="eastAsia"/>
        </w:rPr>
        <w:t>使用授权或所有权转让的完整法律文件。</w:t>
      </w:r>
    </w:p>
    <w:p w:rsidR="00C308B6" w:rsidRDefault="00C308B6" w:rsidP="00C308B6">
      <w:pPr>
        <w:widowControl w:val="0"/>
        <w:numPr>
          <w:ilvl w:val="0"/>
          <w:numId w:val="1"/>
        </w:numPr>
        <w:ind w:firstLine="560"/>
        <w:rPr>
          <w:rFonts w:hint="eastAsia"/>
        </w:rPr>
      </w:pPr>
      <w:r>
        <w:rPr>
          <w:rFonts w:hint="eastAsia"/>
        </w:rPr>
        <w:t>价值评估方法</w:t>
      </w:r>
    </w:p>
    <w:tbl>
      <w:tblPr>
        <w:tblStyle w:val="a6"/>
        <w:tblW w:w="0" w:type="auto"/>
        <w:tblInd w:w="0" w:type="dxa"/>
        <w:tblLook w:val="04A0" w:firstRow="1" w:lastRow="0" w:firstColumn="1" w:lastColumn="0" w:noHBand="0" w:noVBand="1"/>
      </w:tblPr>
      <w:tblGrid>
        <w:gridCol w:w="1466"/>
        <w:gridCol w:w="3779"/>
        <w:gridCol w:w="3234"/>
      </w:tblGrid>
      <w:tr w:rsidR="00C308B6" w:rsidTr="00C308B6">
        <w:trPr>
          <w:trHeight w:val="485"/>
        </w:trPr>
        <w:tc>
          <w:tcPr>
            <w:tcW w:w="1466"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评估方法</w:t>
            </w:r>
          </w:p>
        </w:tc>
        <w:tc>
          <w:tcPr>
            <w:tcW w:w="3779"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适用情形</w:t>
            </w:r>
          </w:p>
        </w:tc>
        <w:tc>
          <w:tcPr>
            <w:tcW w:w="3234"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说明</w:t>
            </w:r>
          </w:p>
        </w:tc>
      </w:tr>
      <w:tr w:rsidR="00C308B6" w:rsidTr="00C308B6">
        <w:trPr>
          <w:trHeight w:val="485"/>
        </w:trPr>
        <w:tc>
          <w:tcPr>
            <w:tcW w:w="1466"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市场法</w:t>
            </w:r>
          </w:p>
        </w:tc>
        <w:tc>
          <w:tcPr>
            <w:tcW w:w="3779"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有可比交易的无形资产</w:t>
            </w:r>
          </w:p>
        </w:tc>
        <w:tc>
          <w:tcPr>
            <w:tcW w:w="3234"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参考同类无形资产市场交易价格</w:t>
            </w:r>
          </w:p>
        </w:tc>
      </w:tr>
      <w:tr w:rsidR="00C308B6" w:rsidTr="00C308B6">
        <w:trPr>
          <w:trHeight w:val="485"/>
        </w:trPr>
        <w:tc>
          <w:tcPr>
            <w:tcW w:w="1466"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成本法</w:t>
            </w:r>
          </w:p>
        </w:tc>
        <w:tc>
          <w:tcPr>
            <w:tcW w:w="3779"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自主研发的课程体系、教学资源等</w:t>
            </w:r>
          </w:p>
        </w:tc>
        <w:tc>
          <w:tcPr>
            <w:tcW w:w="3234"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以开发成本为基础</w:t>
            </w:r>
          </w:p>
        </w:tc>
      </w:tr>
      <w:tr w:rsidR="00C308B6" w:rsidTr="00C308B6">
        <w:trPr>
          <w:trHeight w:val="500"/>
        </w:trPr>
        <w:tc>
          <w:tcPr>
            <w:tcW w:w="1466"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收益法</w:t>
            </w:r>
          </w:p>
        </w:tc>
        <w:tc>
          <w:tcPr>
            <w:tcW w:w="3779"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能产生稳定收益的技术方案、专利等</w:t>
            </w:r>
          </w:p>
        </w:tc>
        <w:tc>
          <w:tcPr>
            <w:tcW w:w="3234" w:type="dxa"/>
            <w:tcBorders>
              <w:top w:val="single" w:sz="4" w:space="0" w:color="auto"/>
              <w:left w:val="single" w:sz="4" w:space="0" w:color="auto"/>
              <w:bottom w:val="single" w:sz="4" w:space="0" w:color="auto"/>
              <w:right w:val="single" w:sz="4" w:space="0" w:color="auto"/>
            </w:tcBorders>
            <w:vAlign w:val="center"/>
            <w:hideMark/>
          </w:tcPr>
          <w:p w:rsidR="00C308B6" w:rsidRDefault="00C308B6">
            <w:pPr>
              <w:pStyle w:val="111"/>
            </w:pPr>
            <w:r>
              <w:rPr>
                <w:rFonts w:ascii="宋体" w:eastAsia="宋体" w:hAnsi="宋体" w:cs="宋体" w:hint="eastAsia"/>
              </w:rPr>
              <w:t>以预期收益折现为基础</w:t>
            </w:r>
          </w:p>
        </w:tc>
      </w:tr>
    </w:tbl>
    <w:p w:rsidR="00C308B6" w:rsidRDefault="00C308B6" w:rsidP="00C308B6">
      <w:pPr>
        <w:widowControl w:val="0"/>
        <w:ind w:firstLine="560"/>
        <w:rPr>
          <w:rFonts w:hint="eastAsia"/>
        </w:rPr>
      </w:pPr>
      <w:r>
        <w:rPr>
          <w:rFonts w:hint="eastAsia"/>
        </w:rPr>
        <w:t>（四）核算流程</w:t>
      </w:r>
    </w:p>
    <w:p w:rsidR="00C308B6" w:rsidRDefault="00C308B6" w:rsidP="00C308B6">
      <w:pPr>
        <w:widowControl w:val="0"/>
        <w:ind w:firstLine="560"/>
        <w:rPr>
          <w:rFonts w:hint="eastAsia"/>
        </w:rPr>
      </w:pPr>
      <w:r>
        <w:rPr>
          <w:rFonts w:hint="eastAsia"/>
        </w:rPr>
        <w:t>企业按协议完成无形资产授权或转让；</w:t>
      </w:r>
    </w:p>
    <w:p w:rsidR="00C308B6" w:rsidRDefault="00C308B6" w:rsidP="00C308B6">
      <w:pPr>
        <w:widowControl w:val="0"/>
        <w:ind w:firstLine="560"/>
        <w:rPr>
          <w:rFonts w:hint="eastAsia"/>
        </w:rPr>
      </w:pPr>
      <w:r>
        <w:rPr>
          <w:rFonts w:hint="eastAsia"/>
        </w:rPr>
        <w:t>校企双方共同审核无形资产的法律状态（权属清晰、无争议、在有效期内）；</w:t>
      </w:r>
    </w:p>
    <w:p w:rsidR="00C308B6" w:rsidRDefault="00C308B6" w:rsidP="00C308B6">
      <w:pPr>
        <w:widowControl w:val="0"/>
        <w:ind w:firstLine="560"/>
        <w:rPr>
          <w:rFonts w:hint="eastAsia"/>
        </w:rPr>
      </w:pPr>
      <w:r>
        <w:rPr>
          <w:rFonts w:hint="eastAsia"/>
        </w:rPr>
        <w:t>校企双方协商确定价值或委托第三方评估；</w:t>
      </w:r>
    </w:p>
    <w:p w:rsidR="00C308B6" w:rsidRDefault="00C308B6" w:rsidP="00C308B6">
      <w:pPr>
        <w:widowControl w:val="0"/>
        <w:ind w:firstLine="560"/>
        <w:rPr>
          <w:rFonts w:hint="eastAsia"/>
        </w:rPr>
      </w:pPr>
      <w:r>
        <w:rPr>
          <w:rFonts w:hint="eastAsia"/>
        </w:rPr>
        <w:t>填写《无形资产类投入确认单》，双方签字盖章确认；</w:t>
      </w:r>
    </w:p>
    <w:p w:rsidR="00C308B6" w:rsidRDefault="00C308B6" w:rsidP="00C308B6">
      <w:pPr>
        <w:widowControl w:val="0"/>
        <w:ind w:firstLine="560"/>
        <w:rPr>
          <w:rFonts w:hint="eastAsia"/>
        </w:rPr>
      </w:pPr>
      <w:r>
        <w:rPr>
          <w:rFonts w:hint="eastAsia"/>
        </w:rPr>
        <w:t>资产管理部门在10个工作日内完成无形资产登记；</w:t>
      </w:r>
    </w:p>
    <w:p w:rsidR="00C308B6" w:rsidRDefault="00C308B6" w:rsidP="00C308B6">
      <w:pPr>
        <w:widowControl w:val="0"/>
        <w:ind w:firstLine="560"/>
        <w:rPr>
          <w:rFonts w:hint="eastAsia"/>
        </w:rPr>
      </w:pPr>
      <w:r>
        <w:rPr>
          <w:rFonts w:hint="eastAsia"/>
        </w:rPr>
        <w:t>财务处依据确认单和相关法律文件，在10个工作日内完成价值入账。</w:t>
      </w:r>
    </w:p>
    <w:p w:rsidR="00C308B6" w:rsidRDefault="00C308B6" w:rsidP="00C308B6">
      <w:pPr>
        <w:keepNext/>
        <w:widowControl w:val="0"/>
        <w:ind w:firstLine="560"/>
        <w:rPr>
          <w:rFonts w:ascii="黑体" w:eastAsia="黑体" w:hAnsi="黑体" w:cs="黑体" w:hint="eastAsia"/>
        </w:rPr>
      </w:pPr>
      <w:r>
        <w:rPr>
          <w:rFonts w:ascii="黑体" w:eastAsia="黑体" w:hAnsi="黑体" w:cs="黑体" w:hint="eastAsia"/>
        </w:rPr>
        <w:t>五、混合投入的处理</w:t>
      </w:r>
    </w:p>
    <w:p w:rsidR="00C308B6" w:rsidRDefault="00C308B6" w:rsidP="00C308B6">
      <w:pPr>
        <w:widowControl w:val="0"/>
        <w:ind w:firstLine="560"/>
        <w:rPr>
          <w:rFonts w:hint="eastAsia"/>
        </w:rPr>
      </w:pPr>
      <w:r>
        <w:rPr>
          <w:rFonts w:hint="eastAsia"/>
        </w:rPr>
        <w:t>如同一合作项目中包含多种形式的投入（货币＋实物＋无形资产），应分别按上述各类投入的评估与核算方法逐一确认，并在项目</w:t>
      </w:r>
      <w:r>
        <w:rPr>
          <w:rFonts w:hint="eastAsia"/>
        </w:rPr>
        <w:lastRenderedPageBreak/>
        <w:t>总台账中汇总反映各类投入的金额与占比。</w:t>
      </w:r>
    </w:p>
    <w:p w:rsidR="00C308B6" w:rsidRDefault="00C308B6" w:rsidP="00C308B6">
      <w:pPr>
        <w:widowControl w:val="0"/>
        <w:ind w:firstLine="560"/>
        <w:rPr>
          <w:rFonts w:ascii="黑体" w:eastAsia="黑体" w:hAnsi="黑体" w:cs="黑体" w:hint="eastAsia"/>
        </w:rPr>
      </w:pPr>
      <w:r>
        <w:rPr>
          <w:rFonts w:ascii="黑体" w:eastAsia="黑体" w:hAnsi="黑体" w:cs="黑体" w:hint="eastAsia"/>
        </w:rPr>
        <w:t>六、价值确认的争议处理</w:t>
      </w:r>
    </w:p>
    <w:p w:rsidR="00C308B6" w:rsidRDefault="00C308B6" w:rsidP="00C308B6">
      <w:pPr>
        <w:widowControl w:val="0"/>
        <w:ind w:firstLine="560"/>
        <w:rPr>
          <w:rFonts w:hint="eastAsia"/>
        </w:rPr>
      </w:pPr>
      <w:r>
        <w:rPr>
          <w:rFonts w:hint="eastAsia"/>
        </w:rPr>
        <w:t>校企双方在价值确认过程中产生争议的，按以下顺序处理：</w:t>
      </w:r>
    </w:p>
    <w:p w:rsidR="00C308B6" w:rsidRDefault="00C308B6" w:rsidP="00C308B6">
      <w:pPr>
        <w:widowControl w:val="0"/>
        <w:ind w:firstLine="560"/>
        <w:rPr>
          <w:rFonts w:hint="eastAsia"/>
        </w:rPr>
      </w:pPr>
      <w:r>
        <w:rPr>
          <w:rFonts w:hint="eastAsia"/>
        </w:rPr>
        <w:t>（一）协商解决：由校企双方项目负责人进行协商，必要时提请双方分管领导协调；</w:t>
      </w:r>
    </w:p>
    <w:p w:rsidR="00C308B6" w:rsidRDefault="00C308B6" w:rsidP="00C308B6">
      <w:pPr>
        <w:widowControl w:val="0"/>
        <w:ind w:firstLine="560"/>
        <w:rPr>
          <w:rFonts w:hint="eastAsia"/>
        </w:rPr>
      </w:pPr>
      <w:r>
        <w:rPr>
          <w:rFonts w:hint="eastAsia"/>
        </w:rPr>
        <w:t>（二）第三方评估：协商无法达成一致的，共同委托具备资质的第三方专业评估机构进行评估，以评估报告为准；</w:t>
      </w:r>
    </w:p>
    <w:p w:rsidR="00C308B6" w:rsidRDefault="00C308B6" w:rsidP="00C308B6">
      <w:pPr>
        <w:widowControl w:val="0"/>
        <w:ind w:firstLine="560"/>
        <w:rPr>
          <w:rFonts w:hint="eastAsia"/>
        </w:rPr>
      </w:pPr>
      <w:r>
        <w:rPr>
          <w:rFonts w:hint="eastAsia"/>
        </w:rPr>
        <w:t>（三）协议约定：如合作协议中对争议解决有特别约定的，按协议约定执行。</w:t>
      </w:r>
    </w:p>
    <w:p w:rsidR="00C308B6" w:rsidRDefault="00C308B6" w:rsidP="00C308B6">
      <w:pPr>
        <w:widowControl w:val="0"/>
        <w:ind w:firstLine="560"/>
        <w:rPr>
          <w:rFonts w:ascii="黑体" w:eastAsia="黑体" w:hAnsi="黑体" w:cs="黑体" w:hint="eastAsia"/>
        </w:rPr>
      </w:pPr>
      <w:r>
        <w:rPr>
          <w:rFonts w:ascii="黑体" w:eastAsia="黑体" w:hAnsi="黑体" w:cs="黑体" w:hint="eastAsia"/>
        </w:rPr>
        <w:t>七、评估机构资质要求</w:t>
      </w:r>
    </w:p>
    <w:p w:rsidR="00C308B6" w:rsidRDefault="00C308B6" w:rsidP="00C308B6">
      <w:pPr>
        <w:widowControl w:val="0"/>
        <w:ind w:firstLine="560"/>
        <w:rPr>
          <w:rFonts w:hint="eastAsia"/>
        </w:rPr>
      </w:pPr>
      <w:r>
        <w:rPr>
          <w:rFonts w:hint="eastAsia"/>
        </w:rPr>
        <w:t>承担行企投经费价值评估的第三方机构应具备以下资质：</w:t>
      </w:r>
    </w:p>
    <w:p w:rsidR="00C308B6" w:rsidRDefault="00C308B6" w:rsidP="00C308B6">
      <w:pPr>
        <w:widowControl w:val="0"/>
        <w:ind w:firstLine="560"/>
        <w:rPr>
          <w:rFonts w:hint="eastAsia"/>
        </w:rPr>
      </w:pPr>
      <w:r>
        <w:rPr>
          <w:rFonts w:hint="eastAsia"/>
        </w:rPr>
        <w:t>（一）依法设立并取得相应评估执业资格；</w:t>
      </w:r>
    </w:p>
    <w:p w:rsidR="00C308B6" w:rsidRDefault="00C308B6" w:rsidP="00C308B6">
      <w:pPr>
        <w:widowControl w:val="0"/>
        <w:ind w:firstLine="560"/>
        <w:rPr>
          <w:rFonts w:hint="eastAsia"/>
        </w:rPr>
      </w:pPr>
      <w:r>
        <w:rPr>
          <w:rFonts w:hint="eastAsia"/>
        </w:rPr>
        <w:t>（二）具备资产评估或相关专业评估资质（如资产评估资格证书、房地产估价资质、无形资产评估资质等）；</w:t>
      </w:r>
    </w:p>
    <w:p w:rsidR="00C308B6" w:rsidRDefault="00C308B6" w:rsidP="00C308B6">
      <w:pPr>
        <w:widowControl w:val="0"/>
        <w:ind w:firstLine="560"/>
        <w:rPr>
          <w:rFonts w:hint="eastAsia"/>
        </w:rPr>
      </w:pPr>
      <w:r>
        <w:rPr>
          <w:rFonts w:hint="eastAsia"/>
        </w:rPr>
        <w:t>（三）近三年无不良执业记录；</w:t>
      </w:r>
    </w:p>
    <w:p w:rsidR="00C308B6" w:rsidRDefault="00C308B6" w:rsidP="00C308B6">
      <w:pPr>
        <w:widowControl w:val="0"/>
        <w:ind w:firstLine="560"/>
        <w:rPr>
          <w:rFonts w:hint="eastAsia"/>
        </w:rPr>
      </w:pPr>
      <w:r>
        <w:rPr>
          <w:rFonts w:hint="eastAsia"/>
        </w:rPr>
        <w:t>（四）与校企双方无利害关系。</w:t>
      </w:r>
    </w:p>
    <w:p w:rsidR="00C308B6" w:rsidRDefault="00C308B6" w:rsidP="00C308B6">
      <w:pPr>
        <w:widowControl w:val="0"/>
        <w:ind w:firstLine="560"/>
        <w:rPr>
          <w:rFonts w:ascii="黑体" w:eastAsia="黑体" w:hAnsi="黑体" w:cs="黑体" w:hint="eastAsia"/>
        </w:rPr>
      </w:pPr>
      <w:r>
        <w:rPr>
          <w:rFonts w:ascii="黑体" w:eastAsia="黑体" w:hAnsi="黑体" w:cs="黑体" w:hint="eastAsia"/>
        </w:rPr>
        <w:t>八、台账管理要求</w:t>
      </w:r>
    </w:p>
    <w:p w:rsidR="00C308B6" w:rsidRDefault="00C308B6" w:rsidP="00C308B6">
      <w:pPr>
        <w:widowControl w:val="0"/>
        <w:ind w:firstLine="560"/>
        <w:rPr>
          <w:rFonts w:hint="eastAsia"/>
        </w:rPr>
      </w:pPr>
      <w:r>
        <w:rPr>
          <w:rFonts w:hint="eastAsia"/>
        </w:rPr>
        <w:t>（一）各项目应建立行企投经费管理台账，逐笔记录经费的收入、支出、结余及资产变动情况；</w:t>
      </w:r>
    </w:p>
    <w:p w:rsidR="00C308B6" w:rsidRDefault="00C308B6" w:rsidP="00C308B6">
      <w:pPr>
        <w:widowControl w:val="0"/>
        <w:ind w:firstLine="560"/>
        <w:rPr>
          <w:rFonts w:hint="eastAsia"/>
        </w:rPr>
      </w:pPr>
      <w:r>
        <w:rPr>
          <w:rFonts w:hint="eastAsia"/>
        </w:rPr>
        <w:t>（二）台账应包含以下要素：序号、日期、凭证号、摘要、收入金额、支出金额、结余金额、经办人、审批人、备注；</w:t>
      </w:r>
    </w:p>
    <w:p w:rsidR="00C308B6" w:rsidRDefault="00C308B6" w:rsidP="00C308B6">
      <w:pPr>
        <w:widowControl w:val="0"/>
        <w:ind w:firstLine="560"/>
        <w:rPr>
          <w:rFonts w:hint="eastAsia"/>
        </w:rPr>
      </w:pPr>
      <w:r>
        <w:rPr>
          <w:rFonts w:hint="eastAsia"/>
        </w:rPr>
        <w:t>（三）台账应由项目负责人按月核对，确保账实相符；</w:t>
      </w:r>
    </w:p>
    <w:p w:rsidR="00C308B6" w:rsidRDefault="00C308B6" w:rsidP="00C308B6">
      <w:pPr>
        <w:widowControl w:val="0"/>
        <w:ind w:firstLine="560"/>
        <w:rPr>
          <w:rFonts w:hint="eastAsia"/>
        </w:rPr>
      </w:pPr>
      <w:r>
        <w:rPr>
          <w:rFonts w:hint="eastAsia"/>
        </w:rPr>
        <w:t>（四）台账应作为项目验收和绩效评价的基础资料存档备查。</w:t>
      </w:r>
    </w:p>
    <w:p w:rsidR="00C308B6" w:rsidRDefault="00C308B6" w:rsidP="00C308B6">
      <w:pPr>
        <w:widowControl w:val="0"/>
        <w:ind w:firstLine="560"/>
        <w:rPr>
          <w:rFonts w:ascii="黑体" w:eastAsia="黑体" w:hAnsi="黑体" w:cs="黑体" w:hint="eastAsia"/>
        </w:rPr>
      </w:pPr>
      <w:r>
        <w:rPr>
          <w:rFonts w:ascii="黑体" w:eastAsia="黑体" w:hAnsi="黑体" w:cs="黑体" w:hint="eastAsia"/>
        </w:rPr>
        <w:t>九、档案管理要求</w:t>
      </w:r>
    </w:p>
    <w:p w:rsidR="00C308B6" w:rsidRDefault="00C308B6" w:rsidP="00C308B6">
      <w:pPr>
        <w:widowControl w:val="0"/>
        <w:ind w:firstLine="560"/>
        <w:rPr>
          <w:rFonts w:hint="eastAsia"/>
        </w:rPr>
      </w:pPr>
      <w:r>
        <w:rPr>
          <w:rFonts w:hint="eastAsia"/>
        </w:rPr>
        <w:t>（一）行企投经费相关的所有凭证、协议、报告、台账等资料，应按照学校档案管理规定归档保存；</w:t>
      </w:r>
    </w:p>
    <w:p w:rsidR="00C308B6" w:rsidRDefault="00C308B6" w:rsidP="00C308B6">
      <w:pPr>
        <w:widowControl w:val="0"/>
        <w:ind w:firstLine="560"/>
        <w:rPr>
          <w:rFonts w:hint="eastAsia"/>
        </w:rPr>
      </w:pPr>
      <w:r>
        <w:rPr>
          <w:rFonts w:hint="eastAsia"/>
        </w:rPr>
        <w:lastRenderedPageBreak/>
        <w:t>（二）保存期限不少于项目结束后10年；</w:t>
      </w:r>
    </w:p>
    <w:p w:rsidR="00C308B6" w:rsidRDefault="00C308B6" w:rsidP="00C308B6">
      <w:pPr>
        <w:widowControl w:val="0"/>
        <w:ind w:firstLine="560"/>
        <w:rPr>
          <w:rFonts w:hint="eastAsia"/>
        </w:rPr>
      </w:pPr>
      <w:r>
        <w:rPr>
          <w:rFonts w:hint="eastAsia"/>
        </w:rPr>
        <w:t>（三）电子档案与纸质档案应同步保存，确保可追溯、可核查。</w:t>
      </w:r>
    </w:p>
    <w:p w:rsidR="00C308B6" w:rsidRDefault="00C308B6" w:rsidP="00C308B6">
      <w:pPr>
        <w:widowControl w:val="0"/>
        <w:ind w:firstLine="560"/>
        <w:rPr>
          <w:rFonts w:ascii="黑体" w:eastAsia="黑体" w:hAnsi="黑体" w:cs="黑体" w:hint="eastAsia"/>
        </w:rPr>
      </w:pPr>
      <w:r>
        <w:rPr>
          <w:rFonts w:ascii="黑体" w:eastAsia="黑体" w:hAnsi="黑体" w:cs="黑体" w:hint="eastAsia"/>
        </w:rPr>
        <w:t>十、附件表格（模板）</w:t>
      </w:r>
    </w:p>
    <w:p w:rsidR="00C308B6" w:rsidRDefault="00C308B6" w:rsidP="00C308B6">
      <w:pPr>
        <w:widowControl w:val="0"/>
        <w:ind w:firstLine="560"/>
        <w:rPr>
          <w:rFonts w:hint="eastAsia"/>
        </w:rPr>
      </w:pPr>
      <w:r>
        <w:rPr>
          <w:rFonts w:hint="eastAsia"/>
        </w:rPr>
        <w:t>表1</w:t>
      </w:r>
    </w:p>
    <w:p w:rsidR="00C308B6" w:rsidRDefault="00C308B6" w:rsidP="00C308B6">
      <w:pPr>
        <w:pStyle w:val="a3"/>
        <w:widowControl w:val="0"/>
        <w:ind w:firstLine="760"/>
        <w:rPr>
          <w:rFonts w:hint="eastAsia"/>
          <w:sz w:val="40"/>
          <w:szCs w:val="40"/>
        </w:rPr>
      </w:pPr>
      <w:r>
        <w:rPr>
          <w:rFonts w:hint="eastAsia"/>
          <w:sz w:val="40"/>
          <w:szCs w:val="40"/>
        </w:rPr>
        <w:t>行企投经费使用申请表</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1753"/>
        <w:gridCol w:w="2093"/>
        <w:gridCol w:w="1902"/>
      </w:tblGrid>
      <w:tr w:rsidR="00C308B6" w:rsidTr="00C308B6">
        <w:trPr>
          <w:trHeight w:val="426"/>
          <w:tblHeader/>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项目名称</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项目编号</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r>
      <w:tr w:rsidR="00C308B6" w:rsidTr="00C308B6">
        <w:trPr>
          <w:trHeight w:val="426"/>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申请部门</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申请人</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6"/>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支出事项</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预算金额</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6"/>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支出依据</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协议约定条款</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6"/>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经办人签字</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日期</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6"/>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项目负责人签字</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日期</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6"/>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二级学院意见</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日期</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6"/>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校企合作办公室意见</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日期</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6"/>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财务处意见</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日期</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6"/>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分管校领导审批</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日期</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6"/>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分管财务校领导审批</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日期</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33"/>
        </w:trPr>
        <w:tc>
          <w:tcPr>
            <w:tcW w:w="0" w:type="auto"/>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校长审批</w:t>
            </w:r>
          </w:p>
        </w:tc>
        <w:tc>
          <w:tcPr>
            <w:tcW w:w="175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093"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日期</w:t>
            </w:r>
          </w:p>
        </w:tc>
        <w:tc>
          <w:tcPr>
            <w:tcW w:w="1902"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bl>
    <w:p w:rsidR="00C308B6" w:rsidRDefault="00C308B6" w:rsidP="00C308B6">
      <w:pPr>
        <w:widowControl w:val="0"/>
        <w:ind w:firstLine="400"/>
        <w:rPr>
          <w:sz w:val="20"/>
          <w:szCs w:val="22"/>
        </w:rPr>
      </w:pPr>
    </w:p>
    <w:p w:rsidR="00C308B6" w:rsidRDefault="00C308B6" w:rsidP="00C308B6">
      <w:pPr>
        <w:ind w:firstLine="560"/>
        <w:rPr>
          <w:rFonts w:hint="eastAsia"/>
        </w:rPr>
      </w:pPr>
      <w:r>
        <w:rPr>
          <w:rFonts w:hint="eastAsia"/>
          <w:shd w:val="clear" w:color="auto" w:fill="FFFFFF"/>
        </w:rPr>
        <w:br w:type="page"/>
      </w:r>
    </w:p>
    <w:p w:rsidR="00C308B6" w:rsidRDefault="00C308B6" w:rsidP="00C308B6">
      <w:pPr>
        <w:pStyle w:val="a5"/>
        <w:widowControl w:val="0"/>
        <w:shd w:val="clear" w:color="auto" w:fill="FFFFFF"/>
        <w:jc w:val="both"/>
        <w:rPr>
          <w:rFonts w:hint="eastAsia"/>
          <w:sz w:val="28"/>
          <w:szCs w:val="28"/>
        </w:rPr>
      </w:pPr>
      <w:r>
        <w:rPr>
          <w:rFonts w:hint="eastAsia"/>
          <w:sz w:val="28"/>
          <w:szCs w:val="28"/>
        </w:rPr>
        <w:lastRenderedPageBreak/>
        <w:t>表2</w:t>
      </w:r>
    </w:p>
    <w:p w:rsidR="00C308B6" w:rsidRDefault="00C308B6" w:rsidP="00C308B6">
      <w:pPr>
        <w:pStyle w:val="a3"/>
        <w:widowControl w:val="0"/>
        <w:ind w:firstLine="760"/>
        <w:rPr>
          <w:rFonts w:hint="eastAsia"/>
          <w:sz w:val="40"/>
          <w:szCs w:val="40"/>
        </w:rPr>
      </w:pPr>
      <w:r>
        <w:rPr>
          <w:rFonts w:hint="eastAsia"/>
          <w:sz w:val="40"/>
          <w:szCs w:val="40"/>
        </w:rPr>
        <w:t>实物类投入验收确认单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5"/>
        <w:gridCol w:w="1776"/>
        <w:gridCol w:w="1689"/>
        <w:gridCol w:w="2680"/>
      </w:tblGrid>
      <w:tr w:rsidR="00C308B6" w:rsidTr="00C308B6">
        <w:trPr>
          <w:trHeight w:val="420"/>
          <w:tblHeader/>
        </w:trPr>
        <w:tc>
          <w:tcPr>
            <w:tcW w:w="2345"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资产名称</w:t>
            </w:r>
          </w:p>
        </w:tc>
        <w:tc>
          <w:tcPr>
            <w:tcW w:w="17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1689"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规格型号</w:t>
            </w:r>
          </w:p>
        </w:tc>
        <w:tc>
          <w:tcPr>
            <w:tcW w:w="2680"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r>
      <w:tr w:rsidR="00C308B6" w:rsidTr="00C308B6">
        <w:trPr>
          <w:trHeight w:val="420"/>
        </w:trPr>
        <w:tc>
          <w:tcPr>
            <w:tcW w:w="2345"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数量</w:t>
            </w:r>
          </w:p>
        </w:tc>
        <w:tc>
          <w:tcPr>
            <w:tcW w:w="17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1689"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单位</w:t>
            </w:r>
          </w:p>
        </w:tc>
        <w:tc>
          <w:tcPr>
            <w:tcW w:w="2680"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0"/>
        </w:trPr>
        <w:tc>
          <w:tcPr>
            <w:tcW w:w="2345"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确认价值</w:t>
            </w:r>
          </w:p>
        </w:tc>
        <w:tc>
          <w:tcPr>
            <w:tcW w:w="17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1689"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确认方式</w:t>
            </w:r>
          </w:p>
        </w:tc>
        <w:tc>
          <w:tcPr>
            <w:tcW w:w="2680"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rsidR="00C308B6" w:rsidRDefault="00C308B6">
            <w:pPr>
              <w:pStyle w:val="111"/>
              <w:widowControl w:val="0"/>
            </w:pPr>
            <w:r>
              <w:t>□</w:t>
            </w:r>
            <w:r>
              <w:rPr>
                <w:rFonts w:ascii="宋体" w:eastAsia="宋体" w:hAnsi="宋体" w:cs="宋体" w:hint="eastAsia"/>
              </w:rPr>
              <w:t>发票</w:t>
            </w:r>
            <w:r>
              <w:t xml:space="preserve"> □</w:t>
            </w:r>
            <w:r>
              <w:rPr>
                <w:rFonts w:ascii="宋体" w:eastAsia="宋体" w:hAnsi="宋体" w:cs="宋体" w:hint="eastAsia"/>
              </w:rPr>
              <w:t>评估</w:t>
            </w:r>
          </w:p>
        </w:tc>
      </w:tr>
      <w:tr w:rsidR="00C308B6" w:rsidTr="00C308B6">
        <w:trPr>
          <w:trHeight w:val="420"/>
        </w:trPr>
        <w:tc>
          <w:tcPr>
            <w:tcW w:w="2345"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资产移交方</w:t>
            </w:r>
          </w:p>
        </w:tc>
        <w:tc>
          <w:tcPr>
            <w:tcW w:w="17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1689"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资产接收方</w:t>
            </w:r>
          </w:p>
        </w:tc>
        <w:tc>
          <w:tcPr>
            <w:tcW w:w="2680"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20"/>
        </w:trPr>
        <w:tc>
          <w:tcPr>
            <w:tcW w:w="2345"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移交日期</w:t>
            </w:r>
          </w:p>
        </w:tc>
        <w:tc>
          <w:tcPr>
            <w:tcW w:w="17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1689"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验收日期</w:t>
            </w:r>
          </w:p>
        </w:tc>
        <w:tc>
          <w:tcPr>
            <w:tcW w:w="2680"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rPr>
          <w:trHeight w:val="430"/>
        </w:trPr>
        <w:tc>
          <w:tcPr>
            <w:tcW w:w="2345" w:type="dxa"/>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校企双方验收人员签字</w:t>
            </w:r>
          </w:p>
        </w:tc>
        <w:tc>
          <w:tcPr>
            <w:tcW w:w="1776"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1689"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2680" w:type="dxa"/>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bl>
    <w:p w:rsidR="00C308B6" w:rsidRDefault="00C308B6" w:rsidP="00C308B6">
      <w:pPr>
        <w:pStyle w:val="a5"/>
        <w:widowControl w:val="0"/>
        <w:shd w:val="clear" w:color="auto" w:fill="FFFFFF"/>
        <w:rPr>
          <w:sz w:val="28"/>
          <w:szCs w:val="28"/>
        </w:rPr>
      </w:pPr>
      <w:r>
        <w:rPr>
          <w:rFonts w:hint="eastAsia"/>
          <w:sz w:val="28"/>
          <w:szCs w:val="28"/>
        </w:rPr>
        <w:t>表3：无形资产类投入确认单</w:t>
      </w:r>
    </w:p>
    <w:tbl>
      <w:tblPr>
        <w:tblW w:w="48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1775"/>
        <w:gridCol w:w="2041"/>
        <w:gridCol w:w="2713"/>
      </w:tblGrid>
      <w:tr w:rsidR="00C308B6" w:rsidTr="00C308B6">
        <w:trPr>
          <w:tblHeader/>
        </w:trPr>
        <w:tc>
          <w:tcPr>
            <w:tcW w:w="1055"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无形资产名称</w:t>
            </w:r>
          </w:p>
        </w:tc>
        <w:tc>
          <w:tcPr>
            <w:tcW w:w="1072"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1233"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类型</w:t>
            </w:r>
          </w:p>
        </w:tc>
        <w:tc>
          <w:tcPr>
            <w:tcW w:w="1638"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t>□</w:t>
            </w:r>
            <w:r>
              <w:rPr>
                <w:rFonts w:ascii="宋体" w:eastAsia="宋体" w:hAnsi="宋体" w:cs="宋体" w:hint="eastAsia"/>
              </w:rPr>
              <w:t>专利</w:t>
            </w:r>
            <w:r>
              <w:t xml:space="preserve"> □</w:t>
            </w:r>
            <w:r>
              <w:rPr>
                <w:rFonts w:ascii="宋体" w:eastAsia="宋体" w:hAnsi="宋体" w:cs="宋体" w:hint="eastAsia"/>
              </w:rPr>
              <w:t>著作权</w:t>
            </w:r>
            <w:r>
              <w:br/>
              <w:t xml:space="preserve"> □</w:t>
            </w:r>
            <w:r>
              <w:rPr>
                <w:rFonts w:ascii="宋体" w:eastAsia="宋体" w:hAnsi="宋体" w:cs="宋体" w:hint="eastAsia"/>
              </w:rPr>
              <w:t>课程体系</w:t>
            </w:r>
            <w:r>
              <w:t xml:space="preserve"> □</w:t>
            </w:r>
            <w:r>
              <w:rPr>
                <w:rFonts w:ascii="宋体" w:eastAsia="宋体" w:hAnsi="宋体" w:cs="宋体" w:hint="eastAsia"/>
              </w:rPr>
              <w:t>其他</w:t>
            </w:r>
          </w:p>
        </w:tc>
      </w:tr>
      <w:tr w:rsidR="00C308B6" w:rsidTr="00C308B6">
        <w:tc>
          <w:tcPr>
            <w:tcW w:w="1055"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权属人</w:t>
            </w:r>
          </w:p>
        </w:tc>
        <w:tc>
          <w:tcPr>
            <w:tcW w:w="1072"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1233"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授权／转让方式</w:t>
            </w:r>
          </w:p>
        </w:tc>
        <w:tc>
          <w:tcPr>
            <w:tcW w:w="1638"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c>
          <w:tcPr>
            <w:tcW w:w="1055"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授权／转让期限</w:t>
            </w:r>
          </w:p>
        </w:tc>
        <w:tc>
          <w:tcPr>
            <w:tcW w:w="1072"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1233"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确认价值</w:t>
            </w:r>
          </w:p>
        </w:tc>
        <w:tc>
          <w:tcPr>
            <w:tcW w:w="1638"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c>
          <w:tcPr>
            <w:tcW w:w="1055"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确认方式</w:t>
            </w:r>
          </w:p>
        </w:tc>
        <w:tc>
          <w:tcPr>
            <w:tcW w:w="1072"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t>□</w:t>
            </w:r>
            <w:r>
              <w:rPr>
                <w:rFonts w:ascii="宋体" w:eastAsia="宋体" w:hAnsi="宋体" w:cs="宋体" w:hint="eastAsia"/>
              </w:rPr>
              <w:t>协商</w:t>
            </w:r>
            <w:r>
              <w:t xml:space="preserve"> □</w:t>
            </w:r>
            <w:r>
              <w:rPr>
                <w:rFonts w:ascii="宋体" w:eastAsia="宋体" w:hAnsi="宋体" w:cs="宋体" w:hint="eastAsia"/>
              </w:rPr>
              <w:t>评估</w:t>
            </w:r>
          </w:p>
        </w:tc>
        <w:tc>
          <w:tcPr>
            <w:tcW w:w="1233"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评估机构（如有）</w:t>
            </w:r>
          </w:p>
        </w:tc>
        <w:tc>
          <w:tcPr>
            <w:tcW w:w="1638"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r w:rsidR="00C308B6" w:rsidTr="00C308B6">
        <w:tc>
          <w:tcPr>
            <w:tcW w:w="1055" w:type="pct"/>
            <w:tcBorders>
              <w:top w:val="single" w:sz="4" w:space="0" w:color="auto"/>
              <w:left w:val="single" w:sz="4" w:space="0" w:color="auto"/>
              <w:bottom w:val="single" w:sz="4" w:space="0" w:color="auto"/>
              <w:right w:val="single" w:sz="4" w:space="0" w:color="auto"/>
            </w:tcBorders>
            <w:tcMar>
              <w:top w:w="150" w:type="dxa"/>
              <w:left w:w="0" w:type="dxa"/>
              <w:bottom w:w="150" w:type="dxa"/>
              <w:right w:w="240" w:type="dxa"/>
            </w:tcMar>
            <w:vAlign w:val="center"/>
            <w:hideMark/>
          </w:tcPr>
          <w:p w:rsidR="00C308B6" w:rsidRDefault="00C308B6">
            <w:pPr>
              <w:pStyle w:val="111"/>
              <w:widowControl w:val="0"/>
            </w:pPr>
            <w:r>
              <w:rPr>
                <w:rFonts w:ascii="宋体" w:eastAsia="宋体" w:hAnsi="宋体" w:cs="宋体" w:hint="eastAsia"/>
              </w:rPr>
              <w:t>校企双方签字盖章</w:t>
            </w:r>
          </w:p>
        </w:tc>
        <w:tc>
          <w:tcPr>
            <w:tcW w:w="1072"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tcPr>
          <w:p w:rsidR="00C308B6" w:rsidRDefault="00C308B6">
            <w:pPr>
              <w:pStyle w:val="111"/>
              <w:widowControl w:val="0"/>
            </w:pPr>
          </w:p>
        </w:tc>
        <w:tc>
          <w:tcPr>
            <w:tcW w:w="1233" w:type="pct"/>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rsidR="00C308B6" w:rsidRDefault="00C308B6">
            <w:pPr>
              <w:pStyle w:val="111"/>
              <w:widowControl w:val="0"/>
            </w:pPr>
            <w:r>
              <w:rPr>
                <w:rFonts w:ascii="宋体" w:eastAsia="宋体" w:hAnsi="宋体" w:cs="宋体" w:hint="eastAsia"/>
              </w:rPr>
              <w:t>日期</w:t>
            </w:r>
          </w:p>
        </w:tc>
        <w:tc>
          <w:tcPr>
            <w:tcW w:w="1638" w:type="pct"/>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tcPr>
          <w:p w:rsidR="00C308B6" w:rsidRDefault="00C308B6">
            <w:pPr>
              <w:pStyle w:val="111"/>
              <w:widowControl w:val="0"/>
            </w:pPr>
          </w:p>
        </w:tc>
      </w:tr>
    </w:tbl>
    <w:p w:rsidR="00C308B6" w:rsidRDefault="00C308B6" w:rsidP="00C308B6">
      <w:pPr>
        <w:pStyle w:val="a4"/>
        <w:widowControl w:val="0"/>
        <w:spacing w:line="480" w:lineRule="exact"/>
        <w:ind w:firstLine="538"/>
        <w:rPr>
          <w:rFonts w:hint="eastAsia"/>
          <w:color w:val="0F1115"/>
          <w:sz w:val="28"/>
          <w:szCs w:val="28"/>
        </w:rPr>
      </w:pPr>
      <w:r>
        <w:rPr>
          <w:rFonts w:hint="eastAsia"/>
          <w:b/>
          <w:color w:val="0F1115"/>
          <w:sz w:val="28"/>
          <w:szCs w:val="28"/>
        </w:rPr>
        <w:t>编制说明</w:t>
      </w:r>
    </w:p>
    <w:p w:rsidR="00C308B6" w:rsidRDefault="00C308B6" w:rsidP="00C308B6">
      <w:pPr>
        <w:widowControl w:val="0"/>
        <w:ind w:firstLine="560"/>
        <w:rPr>
          <w:rFonts w:hint="eastAsia"/>
        </w:rPr>
      </w:pPr>
      <w:r>
        <w:rPr>
          <w:rFonts w:hint="eastAsia"/>
        </w:rPr>
        <w:t>本附件依据《湖南省“新双高”职业院校传媒行业“文化＋科技”领域行企投经费管理办法》的相关规定，结合湖南大众传媒职业技术学院的办学实际和“文化＋科技”融合的行业特色制定。附件一《实施细则》从职责分工、经费确认、经费使用、审批流程、会计核算、绩效管理、监督审计、责任追究等方面对《省办法》进行了校本化细化和落地；附件二《行企投经费价值评估与核算操作指南》针对货币</w:t>
      </w:r>
      <w:r>
        <w:rPr>
          <w:rFonts w:hint="eastAsia"/>
        </w:rPr>
        <w:lastRenderedPageBreak/>
        <w:t>类、实物类、无形资产类三种投入形式，分别明确了确认依据、所需凭证、评估方法、核算流程及争议处理机制，为各类投入资源的价值确认提供了标准化的操作范式。</w:t>
      </w:r>
    </w:p>
    <w:p w:rsidR="00C308B6" w:rsidRDefault="00C308B6" w:rsidP="00C308B6">
      <w:pPr>
        <w:widowControl w:val="0"/>
        <w:ind w:firstLine="560"/>
        <w:rPr>
          <w:rFonts w:hint="eastAsia"/>
        </w:rPr>
      </w:pPr>
      <w:r>
        <w:rPr>
          <w:rFonts w:hint="eastAsia"/>
        </w:rPr>
        <w:t>本附件的突出特点：一是建立了“学校—二级学院”两级管理体系和多部门联动的监管机制，明确了校企合作办公室、财务处、纪检监察处、审计处、二级学院等各方职责；二是细化了经费支出标准和审批权限，形成了从申请到支付的全流程闭环管理；三是建立了货币、实物、无形资产三类投入的分类评估与核算标准，兼顾了不同类型投入的特点和操作可行性；四是强化了绩效评价与责任追究机制，将经费使用效益与项目存续直接挂钩。</w:t>
      </w:r>
    </w:p>
    <w:p w:rsidR="00C308B6" w:rsidRDefault="00C308B6" w:rsidP="00C308B6">
      <w:pPr>
        <w:widowControl w:val="0"/>
        <w:ind w:firstLine="560"/>
        <w:rPr>
          <w:rFonts w:hint="eastAsia"/>
        </w:rPr>
      </w:pPr>
      <w:r>
        <w:rPr>
          <w:rFonts w:hint="eastAsia"/>
        </w:rPr>
        <w:t>在本附件执行过程中，如遇国家、湖南省相关政策调整或学校“新双高”建设实际需要变化，由学校校企合作领导小组及时组织修订完善。</w:t>
      </w:r>
    </w:p>
    <w:p w:rsidR="00C308B6" w:rsidRDefault="00C308B6" w:rsidP="00C308B6">
      <w:pPr>
        <w:widowControl w:val="0"/>
        <w:ind w:firstLine="560"/>
        <w:rPr>
          <w:rFonts w:hint="eastAsia"/>
        </w:rPr>
      </w:pPr>
    </w:p>
    <w:p w:rsidR="00AE27D5" w:rsidRPr="00C308B6" w:rsidRDefault="00AE27D5" w:rsidP="00C308B6">
      <w:pPr>
        <w:ind w:firstLine="560"/>
      </w:pPr>
      <w:bookmarkStart w:id="1" w:name="_GoBack"/>
      <w:bookmarkEnd w:id="1"/>
    </w:p>
    <w:sectPr w:rsidR="00AE27D5" w:rsidRPr="00C308B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6FAFD0"/>
    <w:multiLevelType w:val="singleLevel"/>
    <w:tmpl w:val="A76FAFD0"/>
    <w:lvl w:ilvl="0">
      <w:start w:val="3"/>
      <w:numFmt w:val="chineseCounting"/>
      <w:suff w:val="nothing"/>
      <w:lvlText w:val="（%1）"/>
      <w:lvlJc w:val="left"/>
      <w:pPr>
        <w:ind w:left="0" w:firstLine="0"/>
      </w:pPr>
    </w:lvl>
  </w:abstractNum>
  <w:num w:numId="1">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8B6"/>
    <w:rsid w:val="00AE27D5"/>
    <w:rsid w:val="00C30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8B6"/>
    <w:pPr>
      <w:shd w:val="clear" w:color="auto" w:fill="FFFFFF"/>
      <w:spacing w:line="520" w:lineRule="exact"/>
      <w:ind w:firstLineChars="200" w:firstLine="630"/>
    </w:pPr>
    <w:rPr>
      <w:rFonts w:ascii="仿宋_GB2312" w:eastAsia="仿宋_GB2312" w:hAnsi="仿宋_GB2312" w:cs="Times New Roman"/>
      <w:color w:val="000000" w:themeColor="text1"/>
      <w:kern w:val="0"/>
      <w:sz w:val="28"/>
      <w:szCs w:val="28"/>
    </w:rPr>
  </w:style>
  <w:style w:type="paragraph" w:styleId="1">
    <w:name w:val="heading 1"/>
    <w:basedOn w:val="a"/>
    <w:next w:val="a"/>
    <w:link w:val="1Char"/>
    <w:uiPriority w:val="9"/>
    <w:qFormat/>
    <w:rsid w:val="00C308B6"/>
    <w:pPr>
      <w:keepNext/>
      <w:keepLines/>
      <w:spacing w:before="340" w:after="330" w:line="578" w:lineRule="atLeast"/>
      <w:outlineLvl w:val="0"/>
    </w:pPr>
    <w:rPr>
      <w:b/>
      <w:bCs/>
      <w:kern w:val="44"/>
      <w:sz w:val="44"/>
      <w:szCs w:val="44"/>
    </w:rPr>
  </w:style>
  <w:style w:type="paragraph" w:styleId="2">
    <w:name w:val="heading 2"/>
    <w:basedOn w:val="1"/>
    <w:next w:val="a"/>
    <w:link w:val="2Char1"/>
    <w:autoRedefine/>
    <w:semiHidden/>
    <w:unhideWhenUsed/>
    <w:qFormat/>
    <w:rsid w:val="00C308B6"/>
    <w:pPr>
      <w:keepNext w:val="0"/>
      <w:keepLines w:val="0"/>
      <w:widowControl w:val="0"/>
      <w:spacing w:beforeLines="50" w:before="0" w:afterLines="50" w:after="0" w:line="560" w:lineRule="exact"/>
      <w:ind w:firstLineChars="0" w:firstLine="0"/>
      <w:jc w:val="center"/>
      <w:outlineLvl w:val="1"/>
    </w:pPr>
    <w:rPr>
      <w:rFonts w:ascii="黑体" w:eastAsia="黑体" w:hAnsi="黑体" w:cs="黑体"/>
      <w:b w:val="0"/>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uiPriority w:val="9"/>
    <w:semiHidden/>
    <w:rsid w:val="00C308B6"/>
    <w:rPr>
      <w:rFonts w:asciiTheme="majorHAnsi" w:eastAsiaTheme="majorEastAsia" w:hAnsiTheme="majorHAnsi" w:cstheme="majorBidi"/>
      <w:b/>
      <w:bCs/>
      <w:color w:val="000000" w:themeColor="text1"/>
      <w:kern w:val="0"/>
      <w:sz w:val="32"/>
      <w:szCs w:val="32"/>
      <w:shd w:val="clear" w:color="auto" w:fill="FFFFFF"/>
    </w:rPr>
  </w:style>
  <w:style w:type="paragraph" w:styleId="a3">
    <w:name w:val="Title"/>
    <w:basedOn w:val="a"/>
    <w:link w:val="Char"/>
    <w:qFormat/>
    <w:rsid w:val="00C308B6"/>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
    <w:name w:val="标题 Char"/>
    <w:basedOn w:val="a0"/>
    <w:link w:val="a3"/>
    <w:qFormat/>
    <w:rsid w:val="00C308B6"/>
    <w:rPr>
      <w:rFonts w:asciiTheme="majorHAnsi" w:eastAsiaTheme="majorEastAsia" w:hAnsiTheme="majorHAnsi" w:cstheme="majorBidi"/>
      <w:color w:val="000000" w:themeColor="text1"/>
      <w:spacing w:val="-10"/>
      <w:kern w:val="28"/>
      <w:sz w:val="56"/>
      <w:szCs w:val="56"/>
      <w:shd w:val="clear" w:color="auto" w:fill="FFFFFF"/>
      <w14:ligatures w14:val="standardContextual"/>
    </w:rPr>
  </w:style>
  <w:style w:type="paragraph" w:styleId="a4">
    <w:name w:val="Body Text"/>
    <w:link w:val="Char0"/>
    <w:autoRedefine/>
    <w:semiHidden/>
    <w:unhideWhenUsed/>
    <w:qFormat/>
    <w:rsid w:val="00C308B6"/>
    <w:pPr>
      <w:spacing w:line="560" w:lineRule="exact"/>
      <w:ind w:firstLineChars="200" w:firstLine="630"/>
      <w:jc w:val="both"/>
    </w:pPr>
    <w:rPr>
      <w:rFonts w:ascii="仿宋_GB2312" w:eastAsia="仿宋_GB2312" w:hAnsi="仿宋_GB2312" w:cs="仿宋_GB2312"/>
      <w:spacing w:val="-6"/>
      <w:kern w:val="0"/>
      <w:sz w:val="32"/>
      <w:szCs w:val="32"/>
    </w:rPr>
  </w:style>
  <w:style w:type="character" w:customStyle="1" w:styleId="Char0">
    <w:name w:val="正文文本 Char"/>
    <w:basedOn w:val="a0"/>
    <w:link w:val="a4"/>
    <w:semiHidden/>
    <w:rsid w:val="00C308B6"/>
    <w:rPr>
      <w:rFonts w:ascii="仿宋_GB2312" w:eastAsia="仿宋_GB2312" w:hAnsi="仿宋_GB2312" w:cs="仿宋_GB2312"/>
      <w:spacing w:val="-6"/>
      <w:kern w:val="0"/>
      <w:sz w:val="32"/>
      <w:szCs w:val="32"/>
    </w:rPr>
  </w:style>
  <w:style w:type="paragraph" w:customStyle="1" w:styleId="111">
    <w:name w:val="表格一111"/>
    <w:basedOn w:val="a"/>
    <w:qFormat/>
    <w:rsid w:val="00C308B6"/>
    <w:pPr>
      <w:spacing w:line="300" w:lineRule="exact"/>
      <w:ind w:firstLineChars="0" w:firstLine="0"/>
      <w:jc w:val="center"/>
    </w:pPr>
    <w:rPr>
      <w:rFonts w:ascii="Segoe UI" w:eastAsia="Segoe UI" w:hAnsi="Segoe UI" w:cs="Segoe UI"/>
      <w:sz w:val="21"/>
      <w:szCs w:val="21"/>
    </w:rPr>
  </w:style>
  <w:style w:type="paragraph" w:customStyle="1" w:styleId="a5">
    <w:name w:val="表格标题"/>
    <w:next w:val="a"/>
    <w:qFormat/>
    <w:rsid w:val="00C308B6"/>
    <w:pPr>
      <w:overflowPunct w:val="0"/>
      <w:topLinePunct/>
      <w:spacing w:line="560" w:lineRule="exact"/>
      <w:jc w:val="center"/>
    </w:pPr>
    <w:rPr>
      <w:rFonts w:ascii="仿宋_GB2312" w:eastAsia="仿宋_GB2312" w:hAnsi="仿宋_GB2312" w:cs="仿宋_GB2312"/>
      <w:spacing w:val="-6"/>
      <w:kern w:val="0"/>
      <w:sz w:val="32"/>
      <w:szCs w:val="32"/>
    </w:rPr>
  </w:style>
  <w:style w:type="character" w:customStyle="1" w:styleId="2Char1">
    <w:name w:val="标题 2 Char1"/>
    <w:link w:val="2"/>
    <w:autoRedefine/>
    <w:semiHidden/>
    <w:qFormat/>
    <w:locked/>
    <w:rsid w:val="00C308B6"/>
    <w:rPr>
      <w:rFonts w:ascii="黑体" w:eastAsia="黑体" w:hAnsi="黑体" w:cs="黑体"/>
      <w:bCs/>
      <w:color w:val="000000" w:themeColor="text1"/>
      <w:kern w:val="0"/>
      <w:sz w:val="32"/>
      <w:szCs w:val="32"/>
      <w:shd w:val="clear" w:color="auto" w:fill="FFFFFF"/>
    </w:rPr>
  </w:style>
  <w:style w:type="table" w:styleId="a6">
    <w:name w:val="Table Grid"/>
    <w:basedOn w:val="a1"/>
    <w:qFormat/>
    <w:rsid w:val="00C308B6"/>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uiPriority w:val="9"/>
    <w:rsid w:val="00C308B6"/>
    <w:rPr>
      <w:rFonts w:ascii="仿宋_GB2312" w:eastAsia="仿宋_GB2312" w:hAnsi="仿宋_GB2312" w:cs="Times New Roman"/>
      <w:b/>
      <w:bCs/>
      <w:color w:val="000000" w:themeColor="text1"/>
      <w:kern w:val="44"/>
      <w:sz w:val="44"/>
      <w:szCs w:val="44"/>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8B6"/>
    <w:pPr>
      <w:shd w:val="clear" w:color="auto" w:fill="FFFFFF"/>
      <w:spacing w:line="520" w:lineRule="exact"/>
      <w:ind w:firstLineChars="200" w:firstLine="630"/>
    </w:pPr>
    <w:rPr>
      <w:rFonts w:ascii="仿宋_GB2312" w:eastAsia="仿宋_GB2312" w:hAnsi="仿宋_GB2312" w:cs="Times New Roman"/>
      <w:color w:val="000000" w:themeColor="text1"/>
      <w:kern w:val="0"/>
      <w:sz w:val="28"/>
      <w:szCs w:val="28"/>
    </w:rPr>
  </w:style>
  <w:style w:type="paragraph" w:styleId="1">
    <w:name w:val="heading 1"/>
    <w:basedOn w:val="a"/>
    <w:next w:val="a"/>
    <w:link w:val="1Char"/>
    <w:uiPriority w:val="9"/>
    <w:qFormat/>
    <w:rsid w:val="00C308B6"/>
    <w:pPr>
      <w:keepNext/>
      <w:keepLines/>
      <w:spacing w:before="340" w:after="330" w:line="578" w:lineRule="atLeast"/>
      <w:outlineLvl w:val="0"/>
    </w:pPr>
    <w:rPr>
      <w:b/>
      <w:bCs/>
      <w:kern w:val="44"/>
      <w:sz w:val="44"/>
      <w:szCs w:val="44"/>
    </w:rPr>
  </w:style>
  <w:style w:type="paragraph" w:styleId="2">
    <w:name w:val="heading 2"/>
    <w:basedOn w:val="1"/>
    <w:next w:val="a"/>
    <w:link w:val="2Char1"/>
    <w:autoRedefine/>
    <w:semiHidden/>
    <w:unhideWhenUsed/>
    <w:qFormat/>
    <w:rsid w:val="00C308B6"/>
    <w:pPr>
      <w:keepNext w:val="0"/>
      <w:keepLines w:val="0"/>
      <w:widowControl w:val="0"/>
      <w:spacing w:beforeLines="50" w:before="0" w:afterLines="50" w:after="0" w:line="560" w:lineRule="exact"/>
      <w:ind w:firstLineChars="0" w:firstLine="0"/>
      <w:jc w:val="center"/>
      <w:outlineLvl w:val="1"/>
    </w:pPr>
    <w:rPr>
      <w:rFonts w:ascii="黑体" w:eastAsia="黑体" w:hAnsi="黑体" w:cs="黑体"/>
      <w:b w:val="0"/>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uiPriority w:val="9"/>
    <w:semiHidden/>
    <w:rsid w:val="00C308B6"/>
    <w:rPr>
      <w:rFonts w:asciiTheme="majorHAnsi" w:eastAsiaTheme="majorEastAsia" w:hAnsiTheme="majorHAnsi" w:cstheme="majorBidi"/>
      <w:b/>
      <w:bCs/>
      <w:color w:val="000000" w:themeColor="text1"/>
      <w:kern w:val="0"/>
      <w:sz w:val="32"/>
      <w:szCs w:val="32"/>
      <w:shd w:val="clear" w:color="auto" w:fill="FFFFFF"/>
    </w:rPr>
  </w:style>
  <w:style w:type="paragraph" w:styleId="a3">
    <w:name w:val="Title"/>
    <w:basedOn w:val="a"/>
    <w:link w:val="Char"/>
    <w:qFormat/>
    <w:rsid w:val="00C308B6"/>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
    <w:name w:val="标题 Char"/>
    <w:basedOn w:val="a0"/>
    <w:link w:val="a3"/>
    <w:qFormat/>
    <w:rsid w:val="00C308B6"/>
    <w:rPr>
      <w:rFonts w:asciiTheme="majorHAnsi" w:eastAsiaTheme="majorEastAsia" w:hAnsiTheme="majorHAnsi" w:cstheme="majorBidi"/>
      <w:color w:val="000000" w:themeColor="text1"/>
      <w:spacing w:val="-10"/>
      <w:kern w:val="28"/>
      <w:sz w:val="56"/>
      <w:szCs w:val="56"/>
      <w:shd w:val="clear" w:color="auto" w:fill="FFFFFF"/>
      <w14:ligatures w14:val="standardContextual"/>
    </w:rPr>
  </w:style>
  <w:style w:type="paragraph" w:styleId="a4">
    <w:name w:val="Body Text"/>
    <w:link w:val="Char0"/>
    <w:autoRedefine/>
    <w:semiHidden/>
    <w:unhideWhenUsed/>
    <w:qFormat/>
    <w:rsid w:val="00C308B6"/>
    <w:pPr>
      <w:spacing w:line="560" w:lineRule="exact"/>
      <w:ind w:firstLineChars="200" w:firstLine="630"/>
      <w:jc w:val="both"/>
    </w:pPr>
    <w:rPr>
      <w:rFonts w:ascii="仿宋_GB2312" w:eastAsia="仿宋_GB2312" w:hAnsi="仿宋_GB2312" w:cs="仿宋_GB2312"/>
      <w:spacing w:val="-6"/>
      <w:kern w:val="0"/>
      <w:sz w:val="32"/>
      <w:szCs w:val="32"/>
    </w:rPr>
  </w:style>
  <w:style w:type="character" w:customStyle="1" w:styleId="Char0">
    <w:name w:val="正文文本 Char"/>
    <w:basedOn w:val="a0"/>
    <w:link w:val="a4"/>
    <w:semiHidden/>
    <w:rsid w:val="00C308B6"/>
    <w:rPr>
      <w:rFonts w:ascii="仿宋_GB2312" w:eastAsia="仿宋_GB2312" w:hAnsi="仿宋_GB2312" w:cs="仿宋_GB2312"/>
      <w:spacing w:val="-6"/>
      <w:kern w:val="0"/>
      <w:sz w:val="32"/>
      <w:szCs w:val="32"/>
    </w:rPr>
  </w:style>
  <w:style w:type="paragraph" w:customStyle="1" w:styleId="111">
    <w:name w:val="表格一111"/>
    <w:basedOn w:val="a"/>
    <w:qFormat/>
    <w:rsid w:val="00C308B6"/>
    <w:pPr>
      <w:spacing w:line="300" w:lineRule="exact"/>
      <w:ind w:firstLineChars="0" w:firstLine="0"/>
      <w:jc w:val="center"/>
    </w:pPr>
    <w:rPr>
      <w:rFonts w:ascii="Segoe UI" w:eastAsia="Segoe UI" w:hAnsi="Segoe UI" w:cs="Segoe UI"/>
      <w:sz w:val="21"/>
      <w:szCs w:val="21"/>
    </w:rPr>
  </w:style>
  <w:style w:type="paragraph" w:customStyle="1" w:styleId="a5">
    <w:name w:val="表格标题"/>
    <w:next w:val="a"/>
    <w:qFormat/>
    <w:rsid w:val="00C308B6"/>
    <w:pPr>
      <w:overflowPunct w:val="0"/>
      <w:topLinePunct/>
      <w:spacing w:line="560" w:lineRule="exact"/>
      <w:jc w:val="center"/>
    </w:pPr>
    <w:rPr>
      <w:rFonts w:ascii="仿宋_GB2312" w:eastAsia="仿宋_GB2312" w:hAnsi="仿宋_GB2312" w:cs="仿宋_GB2312"/>
      <w:spacing w:val="-6"/>
      <w:kern w:val="0"/>
      <w:sz w:val="32"/>
      <w:szCs w:val="32"/>
    </w:rPr>
  </w:style>
  <w:style w:type="character" w:customStyle="1" w:styleId="2Char1">
    <w:name w:val="标题 2 Char1"/>
    <w:link w:val="2"/>
    <w:autoRedefine/>
    <w:semiHidden/>
    <w:qFormat/>
    <w:locked/>
    <w:rsid w:val="00C308B6"/>
    <w:rPr>
      <w:rFonts w:ascii="黑体" w:eastAsia="黑体" w:hAnsi="黑体" w:cs="黑体"/>
      <w:bCs/>
      <w:color w:val="000000" w:themeColor="text1"/>
      <w:kern w:val="0"/>
      <w:sz w:val="32"/>
      <w:szCs w:val="32"/>
      <w:shd w:val="clear" w:color="auto" w:fill="FFFFFF"/>
    </w:rPr>
  </w:style>
  <w:style w:type="table" w:styleId="a6">
    <w:name w:val="Table Grid"/>
    <w:basedOn w:val="a1"/>
    <w:qFormat/>
    <w:rsid w:val="00C308B6"/>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uiPriority w:val="9"/>
    <w:rsid w:val="00C308B6"/>
    <w:rPr>
      <w:rFonts w:ascii="仿宋_GB2312" w:eastAsia="仿宋_GB2312" w:hAnsi="仿宋_GB2312" w:cs="Times New Roman"/>
      <w:b/>
      <w:bCs/>
      <w:color w:val="000000" w:themeColor="text1"/>
      <w:kern w:val="44"/>
      <w:sz w:val="44"/>
      <w:szCs w:val="4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82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435</Words>
  <Characters>2484</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童咏沙</dc:creator>
  <cp:lastModifiedBy>童咏沙</cp:lastModifiedBy>
  <cp:revision>1</cp:revision>
  <dcterms:created xsi:type="dcterms:W3CDTF">2026-09-01T01:57:00Z</dcterms:created>
  <dcterms:modified xsi:type="dcterms:W3CDTF">2026-09-01T01:57:00Z</dcterms:modified>
</cp:coreProperties>
</file>